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71A" w:rsidRPr="00EA171A" w:rsidRDefault="00EA171A" w:rsidP="00EA171A">
      <w:pPr>
        <w:spacing w:after="120" w:line="240" w:lineRule="auto"/>
        <w:jc w:val="center"/>
        <w:rPr>
          <w:rFonts w:ascii="Arial" w:hAnsi="Arial" w:cs="Arial"/>
          <w:b/>
          <w:color w:val="76923C" w:themeColor="accent3" w:themeShade="BF"/>
          <w:sz w:val="28"/>
          <w:szCs w:val="28"/>
        </w:rPr>
      </w:pPr>
      <w:r w:rsidRPr="00EA171A">
        <w:rPr>
          <w:rFonts w:ascii="Arial" w:hAnsi="Arial" w:cs="Arial"/>
          <w:b/>
          <w:color w:val="76923C" w:themeColor="accent3" w:themeShade="BF"/>
          <w:sz w:val="28"/>
          <w:szCs w:val="28"/>
        </w:rPr>
        <w:t>New Ross ETNS</w:t>
      </w:r>
    </w:p>
    <w:p w:rsidR="00EA171A" w:rsidRPr="00EA171A" w:rsidRDefault="00EA171A" w:rsidP="00EA171A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76923C" w:themeColor="accent3" w:themeShade="BF"/>
          <w:sz w:val="28"/>
          <w:szCs w:val="28"/>
        </w:rPr>
      </w:pPr>
      <w:r w:rsidRPr="00EA171A">
        <w:rPr>
          <w:rFonts w:ascii="Arial" w:hAnsi="Arial" w:cs="Arial"/>
          <w:b/>
          <w:color w:val="76923C" w:themeColor="accent3" w:themeShade="BF"/>
          <w:sz w:val="28"/>
          <w:szCs w:val="28"/>
        </w:rPr>
        <w:t>ANNUAL ADMISSION NOTICE</w:t>
      </w:r>
    </w:p>
    <w:p w:rsidR="00EA171A" w:rsidRPr="00EA171A" w:rsidRDefault="0074673E" w:rsidP="00EA171A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color w:val="76923C" w:themeColor="accent3" w:themeShade="BF"/>
          <w:sz w:val="28"/>
          <w:szCs w:val="28"/>
        </w:rPr>
        <w:t>for 2024/25</w:t>
      </w:r>
      <w:r w:rsidR="00EA171A" w:rsidRPr="00EA171A">
        <w:rPr>
          <w:rFonts w:ascii="Arial" w:hAnsi="Arial" w:cs="Arial"/>
          <w:b/>
          <w:color w:val="76923C" w:themeColor="accent3" w:themeShade="BF"/>
          <w:sz w:val="28"/>
          <w:szCs w:val="28"/>
        </w:rPr>
        <w:t xml:space="preserve"> school year</w:t>
      </w:r>
    </w:p>
    <w:p w:rsidR="00EA171A" w:rsidRPr="00EA171A" w:rsidRDefault="00EA171A" w:rsidP="00EA171A">
      <w:pPr>
        <w:pStyle w:val="ListParagraph"/>
        <w:spacing w:line="276" w:lineRule="auto"/>
        <w:rPr>
          <w:rFonts w:ascii="Arial" w:hAnsi="Arial" w:cs="Arial"/>
          <w:b/>
          <w:color w:val="76923C" w:themeColor="accent3" w:themeShade="BF"/>
          <w:sz w:val="24"/>
          <w:szCs w:val="24"/>
        </w:rPr>
      </w:pPr>
    </w:p>
    <w:p w:rsidR="00EA171A" w:rsidRPr="00EA171A" w:rsidRDefault="00EA171A" w:rsidP="00EA171A">
      <w:pPr>
        <w:pStyle w:val="ListParagraph"/>
        <w:spacing w:line="276" w:lineRule="auto"/>
        <w:ind w:left="0"/>
        <w:rPr>
          <w:rFonts w:ascii="Arial" w:hAnsi="Arial" w:cs="Arial"/>
          <w:b/>
          <w:color w:val="76923C" w:themeColor="accent3" w:themeShade="BF"/>
          <w:sz w:val="24"/>
          <w:szCs w:val="24"/>
        </w:rPr>
      </w:pPr>
      <w:r w:rsidRPr="00EA171A">
        <w:rPr>
          <w:rFonts w:ascii="Arial" w:hAnsi="Arial" w:cs="Arial"/>
          <w:b/>
          <w:color w:val="76923C" w:themeColor="accent3" w:themeShade="BF"/>
          <w:sz w:val="24"/>
          <w:szCs w:val="24"/>
        </w:rPr>
        <w:t>Admission Policy and Application Form</w:t>
      </w:r>
    </w:p>
    <w:p w:rsidR="00EA171A" w:rsidRPr="00770F3B" w:rsidRDefault="00EA171A" w:rsidP="00EA171A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for</w:t>
      </w:r>
      <w:r>
        <w:rPr>
          <w:rFonts w:ascii="Arial" w:hAnsi="Arial" w:cs="Arial"/>
        </w:rPr>
        <w:t xml:space="preserve"> the 2023/24 year </w:t>
      </w:r>
      <w:r w:rsidRPr="00770F3B">
        <w:rPr>
          <w:rFonts w:ascii="Arial" w:hAnsi="Arial" w:cs="Arial"/>
        </w:rPr>
        <w:t>is available as follows: –</w:t>
      </w:r>
    </w:p>
    <w:p w:rsidR="00EA171A" w:rsidRPr="00770F3B" w:rsidRDefault="00EA171A" w:rsidP="00EA171A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</w:rPr>
      </w:pPr>
      <w:r w:rsidRPr="00770F3B">
        <w:rPr>
          <w:rFonts w:ascii="Arial" w:hAnsi="Arial" w:cs="Arial"/>
        </w:rPr>
        <w:t xml:space="preserve">To download at: </w:t>
      </w:r>
      <w:r>
        <w:rPr>
          <w:rStyle w:val="Hyperlink"/>
          <w:rFonts w:ascii="Arial" w:hAnsi="Arial" w:cs="Arial"/>
        </w:rPr>
        <w:t>www.newrossestns.ie</w:t>
      </w:r>
    </w:p>
    <w:p w:rsidR="00EA171A" w:rsidRPr="00770F3B" w:rsidRDefault="00EA171A" w:rsidP="00EA171A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On request: By </w:t>
      </w:r>
      <w:proofErr w:type="gramStart"/>
      <w:r w:rsidRPr="00770F3B">
        <w:rPr>
          <w:rFonts w:ascii="Arial" w:hAnsi="Arial" w:cs="Arial"/>
        </w:rPr>
        <w:t xml:space="preserve">emailing </w:t>
      </w:r>
      <w:r>
        <w:rPr>
          <w:rFonts w:ascii="Arial" w:hAnsi="Arial" w:cs="Arial"/>
        </w:rPr>
        <w:t xml:space="preserve"> office@newrossetns.ie</w:t>
      </w:r>
      <w:proofErr w:type="gramEnd"/>
      <w:r w:rsidRPr="00770F3B">
        <w:rPr>
          <w:rFonts w:ascii="Arial" w:hAnsi="Arial" w:cs="Arial"/>
        </w:rPr>
        <w:t xml:space="preserve">  or writing to </w:t>
      </w:r>
      <w:r>
        <w:rPr>
          <w:rFonts w:ascii="Arial" w:hAnsi="Arial" w:cs="Arial"/>
        </w:rPr>
        <w:t>: New Ross ETNS, Barrett’s Park, New Ross, Co. Wexford. Y34AY71</w:t>
      </w:r>
    </w:p>
    <w:p w:rsidR="00EA171A" w:rsidRPr="00770F3B" w:rsidRDefault="00EA171A" w:rsidP="00EA171A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:rsidR="00EA171A" w:rsidRPr="00770F3B" w:rsidRDefault="00EA171A" w:rsidP="00EA171A">
      <w:pPr>
        <w:pStyle w:val="ListParagraph"/>
        <w:spacing w:line="276" w:lineRule="auto"/>
        <w:jc w:val="center"/>
        <w:rPr>
          <w:rFonts w:ascii="Arial" w:hAnsi="Arial" w:cs="Arial"/>
          <w:b/>
          <w:color w:val="984806" w:themeColor="accent6" w:themeShade="80"/>
        </w:rPr>
      </w:pPr>
    </w:p>
    <w:p w:rsidR="00EA171A" w:rsidRPr="00EA171A" w:rsidRDefault="00EA171A" w:rsidP="00EA171A">
      <w:pPr>
        <w:pStyle w:val="ListParagraph"/>
        <w:spacing w:line="276" w:lineRule="auto"/>
        <w:jc w:val="both"/>
        <w:rPr>
          <w:rFonts w:ascii="Arial" w:hAnsi="Arial" w:cs="Arial"/>
          <w:b/>
          <w:color w:val="76923C" w:themeColor="accent3" w:themeShade="BF"/>
          <w:sz w:val="28"/>
          <w:szCs w:val="28"/>
        </w:rPr>
      </w:pPr>
      <w:r w:rsidRPr="00EA171A">
        <w:rPr>
          <w:rFonts w:ascii="Arial" w:hAnsi="Arial" w:cs="Arial"/>
          <w:b/>
          <w:color w:val="76923C" w:themeColor="accent3" w:themeShade="BF"/>
          <w:sz w:val="28"/>
          <w:szCs w:val="28"/>
        </w:rPr>
        <w:t>PART 1</w:t>
      </w:r>
      <w:r w:rsidRPr="00EA171A"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 - Admissions to the 202</w:t>
      </w:r>
      <w:r w:rsidR="0074673E">
        <w:rPr>
          <w:rFonts w:ascii="Arial" w:hAnsi="Arial" w:cs="Arial"/>
          <w:b/>
          <w:color w:val="76923C" w:themeColor="accent3" w:themeShade="BF"/>
          <w:sz w:val="24"/>
          <w:szCs w:val="24"/>
        </w:rPr>
        <w:t>4</w:t>
      </w:r>
      <w:r w:rsidRPr="00EA171A">
        <w:rPr>
          <w:rFonts w:ascii="Arial" w:hAnsi="Arial" w:cs="Arial"/>
          <w:b/>
          <w:color w:val="76923C" w:themeColor="accent3" w:themeShade="BF"/>
          <w:sz w:val="24"/>
          <w:szCs w:val="24"/>
        </w:rPr>
        <w:t>/2</w:t>
      </w:r>
      <w:r w:rsidR="0074673E">
        <w:rPr>
          <w:rFonts w:ascii="Arial" w:hAnsi="Arial" w:cs="Arial"/>
          <w:b/>
          <w:color w:val="76923C" w:themeColor="accent3" w:themeShade="BF"/>
          <w:sz w:val="24"/>
          <w:szCs w:val="24"/>
        </w:rPr>
        <w:t>5</w:t>
      </w:r>
      <w:r w:rsidRPr="00EA171A"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 school year</w:t>
      </w:r>
    </w:p>
    <w:p w:rsidR="00EA171A" w:rsidRPr="00EA171A" w:rsidRDefault="00EA171A" w:rsidP="00EA171A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76923C" w:themeColor="accent3" w:themeShade="BF"/>
          <w:sz w:val="24"/>
          <w:szCs w:val="24"/>
        </w:rPr>
      </w:pPr>
    </w:p>
    <w:p w:rsidR="00EA171A" w:rsidRPr="00EA171A" w:rsidRDefault="00EA171A" w:rsidP="00EA171A">
      <w:pPr>
        <w:pStyle w:val="ListParagraph"/>
        <w:spacing w:line="276" w:lineRule="auto"/>
        <w:ind w:left="0"/>
        <w:rPr>
          <w:rFonts w:ascii="Arial" w:hAnsi="Arial" w:cs="Arial"/>
          <w:b/>
          <w:color w:val="76923C" w:themeColor="accent3" w:themeShade="BF"/>
          <w:sz w:val="24"/>
          <w:szCs w:val="24"/>
        </w:rPr>
      </w:pPr>
      <w:r w:rsidRPr="00EA171A">
        <w:rPr>
          <w:rFonts w:ascii="Arial" w:hAnsi="Arial" w:cs="Arial"/>
          <w:b/>
          <w:color w:val="76923C" w:themeColor="accent3" w:themeShade="BF"/>
          <w:sz w:val="24"/>
          <w:szCs w:val="24"/>
        </w:rPr>
        <w:t>Application and Dec</w:t>
      </w:r>
      <w:r w:rsidR="0074673E">
        <w:rPr>
          <w:rFonts w:ascii="Arial" w:hAnsi="Arial" w:cs="Arial"/>
          <w:b/>
          <w:color w:val="76923C" w:themeColor="accent3" w:themeShade="BF"/>
          <w:sz w:val="24"/>
          <w:szCs w:val="24"/>
        </w:rPr>
        <w:t>ision Dates for admission to 2024/25</w:t>
      </w:r>
    </w:p>
    <w:p w:rsidR="00EA171A" w:rsidRPr="00EA171A" w:rsidRDefault="00EA171A" w:rsidP="00EA171A">
      <w:pPr>
        <w:pStyle w:val="ListParagraph"/>
        <w:spacing w:line="276" w:lineRule="auto"/>
        <w:ind w:left="0"/>
        <w:rPr>
          <w:rFonts w:ascii="Arial" w:hAnsi="Arial" w:cs="Arial"/>
          <w:color w:val="76923C" w:themeColor="accent3" w:themeShade="BF"/>
        </w:rPr>
      </w:pPr>
      <w:r w:rsidRPr="00EA171A">
        <w:rPr>
          <w:rFonts w:ascii="Arial" w:hAnsi="Arial" w:cs="Arial"/>
          <w:color w:val="76923C" w:themeColor="accent3" w:themeShade="BF"/>
        </w:rPr>
        <w:t>The following are the dates applicable for admission to Junior Infants</w:t>
      </w:r>
    </w:p>
    <w:p w:rsidR="00EA171A" w:rsidRPr="00770F3B" w:rsidRDefault="00EA171A" w:rsidP="00EA171A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EA171A" w:rsidRPr="00770F3B" w:rsidTr="0077646C">
        <w:tc>
          <w:tcPr>
            <w:tcW w:w="7230" w:type="dxa"/>
          </w:tcPr>
          <w:p w:rsidR="00EA171A" w:rsidRPr="00234402" w:rsidRDefault="00EA171A" w:rsidP="00EA171A">
            <w:pPr>
              <w:pStyle w:val="ListParagraph"/>
              <w:numPr>
                <w:ilvl w:val="0"/>
                <w:numId w:val="1"/>
              </w:numPr>
            </w:pPr>
            <w:r w:rsidRPr="00234402">
              <w:t xml:space="preserve">The school will commence accepting applications for admission on  </w:t>
            </w:r>
          </w:p>
        </w:tc>
        <w:tc>
          <w:tcPr>
            <w:tcW w:w="1791" w:type="dxa"/>
          </w:tcPr>
          <w:p w:rsidR="00EA171A" w:rsidRPr="00EA171A" w:rsidRDefault="0074673E" w:rsidP="0077646C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923C" w:themeColor="accent3" w:themeShade="BF"/>
                <w:sz w:val="20"/>
                <w:szCs w:val="20"/>
              </w:rPr>
              <w:t>06/11/23</w:t>
            </w:r>
          </w:p>
        </w:tc>
      </w:tr>
      <w:tr w:rsidR="00EA171A" w:rsidRPr="00770F3B" w:rsidTr="0077646C">
        <w:tc>
          <w:tcPr>
            <w:tcW w:w="7230" w:type="dxa"/>
          </w:tcPr>
          <w:p w:rsidR="00EA171A" w:rsidRPr="00234402" w:rsidRDefault="00EA171A" w:rsidP="00EA171A">
            <w:pPr>
              <w:pStyle w:val="ListParagraph"/>
              <w:numPr>
                <w:ilvl w:val="0"/>
                <w:numId w:val="1"/>
              </w:numPr>
            </w:pPr>
            <w:r w:rsidRPr="00234402">
              <w:t xml:space="preserve">The school shall cease accepting applications for admission on  </w:t>
            </w:r>
          </w:p>
        </w:tc>
        <w:tc>
          <w:tcPr>
            <w:tcW w:w="1791" w:type="dxa"/>
          </w:tcPr>
          <w:p w:rsidR="00EA171A" w:rsidRPr="00EA171A" w:rsidRDefault="0074673E" w:rsidP="0077646C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923C" w:themeColor="accent3" w:themeShade="BF"/>
                <w:sz w:val="20"/>
                <w:szCs w:val="20"/>
              </w:rPr>
              <w:t>24/02/24 if oversubscribed</w:t>
            </w:r>
          </w:p>
        </w:tc>
      </w:tr>
      <w:tr w:rsidR="00EA171A" w:rsidRPr="00770F3B" w:rsidTr="0077646C">
        <w:tc>
          <w:tcPr>
            <w:tcW w:w="7230" w:type="dxa"/>
          </w:tcPr>
          <w:p w:rsidR="00EA171A" w:rsidRPr="00234402" w:rsidRDefault="00EA171A" w:rsidP="00EA171A">
            <w:pPr>
              <w:pStyle w:val="ListParagraph"/>
              <w:numPr>
                <w:ilvl w:val="0"/>
                <w:numId w:val="1"/>
              </w:numPr>
            </w:pPr>
            <w:r w:rsidRPr="00234402">
              <w:t xml:space="preserve">The date by which applicants will be notified of the decision on their application is     </w:t>
            </w:r>
          </w:p>
        </w:tc>
        <w:tc>
          <w:tcPr>
            <w:tcW w:w="1791" w:type="dxa"/>
          </w:tcPr>
          <w:p w:rsidR="00EA171A" w:rsidRPr="00EA171A" w:rsidRDefault="0074673E" w:rsidP="0077646C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923C" w:themeColor="accent3" w:themeShade="BF"/>
                <w:sz w:val="20"/>
                <w:szCs w:val="20"/>
              </w:rPr>
              <w:t>11/03/24</w:t>
            </w:r>
          </w:p>
        </w:tc>
      </w:tr>
      <w:tr w:rsidR="00EA171A" w:rsidRPr="00770F3B" w:rsidTr="0077646C">
        <w:tc>
          <w:tcPr>
            <w:tcW w:w="7230" w:type="dxa"/>
          </w:tcPr>
          <w:p w:rsidR="00EA171A" w:rsidRPr="00234402" w:rsidRDefault="00EA171A" w:rsidP="00EA171A">
            <w:pPr>
              <w:pStyle w:val="ListParagraph"/>
              <w:numPr>
                <w:ilvl w:val="0"/>
                <w:numId w:val="1"/>
              </w:numPr>
            </w:pPr>
            <w:r w:rsidRPr="00234402"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:rsidR="00EA171A" w:rsidRPr="00EA171A" w:rsidRDefault="00EA171A" w:rsidP="0077646C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color w:val="76923C" w:themeColor="accent3" w:themeShade="BF"/>
                <w:sz w:val="20"/>
                <w:szCs w:val="20"/>
              </w:rPr>
            </w:pPr>
            <w:r w:rsidRPr="00EA171A">
              <w:rPr>
                <w:rFonts w:ascii="Arial" w:hAnsi="Arial" w:cs="Arial"/>
                <w:bCs/>
                <w:color w:val="76923C" w:themeColor="accent3" w:themeShade="BF"/>
                <w:sz w:val="20"/>
                <w:szCs w:val="20"/>
              </w:rPr>
              <w:t>One week</w:t>
            </w:r>
          </w:p>
        </w:tc>
      </w:tr>
    </w:tbl>
    <w:p w:rsidR="00EA171A" w:rsidRPr="00770F3B" w:rsidRDefault="00EA171A" w:rsidP="00EA171A">
      <w:pPr>
        <w:pStyle w:val="NoSpacing"/>
        <w:rPr>
          <w:rFonts w:ascii="Arial" w:hAnsi="Arial" w:cs="Arial"/>
        </w:rPr>
      </w:pPr>
    </w:p>
    <w:p w:rsidR="00EA171A" w:rsidRDefault="00EA171A" w:rsidP="00EA171A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 xml:space="preserve">Note: </w:t>
      </w:r>
      <w:r>
        <w:rPr>
          <w:rFonts w:ascii="Arial" w:hAnsi="Arial" w:cs="Arial"/>
          <w:b/>
        </w:rPr>
        <w:t>a</w:t>
      </w:r>
      <w:r w:rsidR="0074673E">
        <w:rPr>
          <w:rFonts w:ascii="Arial" w:hAnsi="Arial" w:cs="Arial"/>
          <w:b/>
        </w:rPr>
        <w:t>pplications made after the 06/11</w:t>
      </w:r>
      <w:r>
        <w:rPr>
          <w:rFonts w:ascii="Arial" w:hAnsi="Arial" w:cs="Arial"/>
          <w:b/>
        </w:rPr>
        <w:t xml:space="preserve">/23will be processed as late applications, </w:t>
      </w:r>
      <w:r w:rsidRPr="00770F3B">
        <w:rPr>
          <w:rFonts w:ascii="Arial" w:hAnsi="Arial" w:cs="Arial"/>
          <w:b/>
        </w:rPr>
        <w:t>the school will consider and issue decisions on late applications in accordance with the school’s admission policy.</w:t>
      </w:r>
    </w:p>
    <w:p w:rsidR="00EA171A" w:rsidRDefault="00EA171A" w:rsidP="00EA171A">
      <w:pPr>
        <w:pStyle w:val="NoSpacing"/>
        <w:rPr>
          <w:rFonts w:ascii="Arial" w:hAnsi="Arial" w:cs="Arial"/>
          <w:b/>
        </w:rPr>
      </w:pPr>
    </w:p>
    <w:p w:rsidR="00EA171A" w:rsidRDefault="00EA171A" w:rsidP="00EA171A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Failure of an applicant to accept an offer by the 21/03/23 may result in the offer being withdrawn.</w:t>
      </w:r>
    </w:p>
    <w:p w:rsidR="00EA171A" w:rsidRDefault="00EA171A" w:rsidP="00EA171A">
      <w:pPr>
        <w:pStyle w:val="NoSpacing"/>
        <w:rPr>
          <w:rFonts w:ascii="Arial" w:hAnsi="Arial" w:cs="Arial"/>
          <w:b/>
        </w:rPr>
      </w:pPr>
    </w:p>
    <w:p w:rsidR="00EA171A" w:rsidRPr="00770F3B" w:rsidRDefault="00EA171A" w:rsidP="00EA171A">
      <w:pPr>
        <w:pStyle w:val="NoSpacing"/>
        <w:rPr>
          <w:rFonts w:ascii="Arial" w:hAnsi="Arial" w:cs="Arial"/>
          <w:b/>
        </w:rPr>
      </w:pPr>
    </w:p>
    <w:p w:rsidR="00EA171A" w:rsidRDefault="00EA171A" w:rsidP="00EA171A">
      <w:pPr>
        <w:pStyle w:val="NoSpacing"/>
        <w:rPr>
          <w:rFonts w:ascii="Arial" w:hAnsi="Arial" w:cs="Arial"/>
          <w:b/>
        </w:rPr>
      </w:pPr>
    </w:p>
    <w:p w:rsidR="00EA171A" w:rsidRDefault="00EA171A" w:rsidP="00EA171A">
      <w:pPr>
        <w:pStyle w:val="NoSpacing"/>
        <w:rPr>
          <w:rFonts w:ascii="Arial" w:hAnsi="Arial" w:cs="Arial"/>
          <w:b/>
        </w:rPr>
      </w:pPr>
    </w:p>
    <w:p w:rsidR="00EA171A" w:rsidRDefault="00EA171A" w:rsidP="00EA171A">
      <w:pPr>
        <w:pStyle w:val="NoSpacing"/>
        <w:rPr>
          <w:rFonts w:ascii="Arial" w:hAnsi="Arial" w:cs="Arial"/>
          <w:b/>
        </w:rPr>
      </w:pPr>
    </w:p>
    <w:p w:rsidR="00EA171A" w:rsidRDefault="00EA171A" w:rsidP="00EA171A">
      <w:pPr>
        <w:pStyle w:val="NoSpacing"/>
        <w:rPr>
          <w:rFonts w:ascii="Arial" w:hAnsi="Arial" w:cs="Arial"/>
          <w:b/>
        </w:rPr>
      </w:pPr>
    </w:p>
    <w:p w:rsidR="00EA171A" w:rsidRPr="00EA171A" w:rsidRDefault="00EA171A" w:rsidP="00EA171A">
      <w:pPr>
        <w:pStyle w:val="ListParagraph"/>
        <w:spacing w:line="276" w:lineRule="auto"/>
        <w:ind w:left="0"/>
        <w:rPr>
          <w:rFonts w:ascii="Arial" w:hAnsi="Arial" w:cs="Arial"/>
          <w:color w:val="76923C" w:themeColor="accent3" w:themeShade="BF"/>
        </w:rPr>
      </w:pPr>
      <w:r w:rsidRPr="00EA171A">
        <w:rPr>
          <w:rFonts w:ascii="Arial" w:hAnsi="Arial" w:cs="Arial"/>
          <w:b/>
          <w:color w:val="76923C" w:themeColor="accent3" w:themeShade="BF"/>
          <w:sz w:val="24"/>
          <w:szCs w:val="24"/>
        </w:rPr>
        <w:lastRenderedPageBreak/>
        <w:t>Other Year Groups Application and Decision Dates for admission to 2023/24</w:t>
      </w:r>
    </w:p>
    <w:p w:rsidR="00EA171A" w:rsidRPr="00EA171A" w:rsidRDefault="00EA171A" w:rsidP="00EA171A">
      <w:pPr>
        <w:pStyle w:val="ListParagraph"/>
        <w:spacing w:line="276" w:lineRule="auto"/>
        <w:ind w:left="0"/>
        <w:rPr>
          <w:rFonts w:ascii="Arial" w:hAnsi="Arial" w:cs="Arial"/>
          <w:color w:val="76923C" w:themeColor="accent3" w:themeShade="BF"/>
        </w:rPr>
      </w:pPr>
      <w:r w:rsidRPr="00EA171A">
        <w:rPr>
          <w:rFonts w:ascii="Arial" w:hAnsi="Arial" w:cs="Arial"/>
          <w:color w:val="76923C" w:themeColor="accent3" w:themeShade="BF"/>
        </w:rPr>
        <w:t>The following are the dates applicable for admission to other year groups (SI to 6</w:t>
      </w:r>
      <w:r w:rsidRPr="00EA171A">
        <w:rPr>
          <w:rFonts w:ascii="Arial" w:hAnsi="Arial" w:cs="Arial"/>
          <w:color w:val="76923C" w:themeColor="accent3" w:themeShade="BF"/>
          <w:vertAlign w:val="superscript"/>
        </w:rPr>
        <w:t>th</w:t>
      </w:r>
      <w:r>
        <w:rPr>
          <w:rFonts w:ascii="Arial" w:hAnsi="Arial" w:cs="Arial"/>
          <w:color w:val="76923C" w:themeColor="accent3" w:themeShade="BF"/>
        </w:rPr>
        <w:t xml:space="preserve"> class</w:t>
      </w:r>
      <w:r w:rsidRPr="00EA171A">
        <w:rPr>
          <w:rFonts w:ascii="Arial" w:hAnsi="Arial" w:cs="Arial"/>
          <w:color w:val="76923C" w:themeColor="accent3" w:themeShade="BF"/>
        </w:rPr>
        <w:t>)</w:t>
      </w:r>
    </w:p>
    <w:p w:rsidR="00EA171A" w:rsidRPr="00EA171A" w:rsidRDefault="00EA171A" w:rsidP="00EA171A">
      <w:pPr>
        <w:pStyle w:val="ListParagraph"/>
        <w:spacing w:line="276" w:lineRule="auto"/>
        <w:jc w:val="both"/>
        <w:rPr>
          <w:rFonts w:ascii="Arial" w:hAnsi="Arial" w:cs="Arial"/>
          <w:b/>
          <w:color w:val="76923C" w:themeColor="accent3" w:themeShade="BF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EA171A" w:rsidRPr="00770F3B" w:rsidTr="0077646C">
        <w:tc>
          <w:tcPr>
            <w:tcW w:w="7230" w:type="dxa"/>
          </w:tcPr>
          <w:p w:rsidR="00EA171A" w:rsidRPr="00234402" w:rsidRDefault="00EA171A" w:rsidP="00EA171A">
            <w:pPr>
              <w:pStyle w:val="ListParagraph"/>
              <w:numPr>
                <w:ilvl w:val="0"/>
                <w:numId w:val="2"/>
              </w:numPr>
            </w:pPr>
            <w:r w:rsidRPr="00234402">
              <w:t xml:space="preserve">The school will commence accepting applications for admission </w:t>
            </w:r>
            <w:r>
              <w:t>to other year groups on</w:t>
            </w:r>
          </w:p>
        </w:tc>
        <w:tc>
          <w:tcPr>
            <w:tcW w:w="1791" w:type="dxa"/>
          </w:tcPr>
          <w:p w:rsidR="00EA171A" w:rsidRPr="00EA171A" w:rsidRDefault="0074673E" w:rsidP="0077646C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923C" w:themeColor="accent3" w:themeShade="BF"/>
                <w:sz w:val="20"/>
                <w:szCs w:val="20"/>
              </w:rPr>
              <w:t>13/11</w:t>
            </w:r>
            <w:r w:rsidR="00EA171A" w:rsidRPr="00EA171A">
              <w:rPr>
                <w:rFonts w:ascii="Arial" w:hAnsi="Arial" w:cs="Arial"/>
                <w:bCs/>
                <w:color w:val="76923C" w:themeColor="accent3" w:themeShade="BF"/>
                <w:sz w:val="20"/>
                <w:szCs w:val="20"/>
              </w:rPr>
              <w:t>/23</w:t>
            </w:r>
          </w:p>
        </w:tc>
      </w:tr>
      <w:tr w:rsidR="00EA171A" w:rsidRPr="00770F3B" w:rsidTr="0077646C">
        <w:tc>
          <w:tcPr>
            <w:tcW w:w="7230" w:type="dxa"/>
          </w:tcPr>
          <w:p w:rsidR="00EA171A" w:rsidRPr="00234402" w:rsidRDefault="00EA171A" w:rsidP="00EA171A">
            <w:pPr>
              <w:pStyle w:val="ListParagraph"/>
              <w:numPr>
                <w:ilvl w:val="0"/>
                <w:numId w:val="2"/>
              </w:numPr>
            </w:pPr>
            <w:r w:rsidRPr="00234402">
              <w:t>The school shall cease accepting applications for admission</w:t>
            </w:r>
            <w:r>
              <w:t xml:space="preserve"> to other year groups</w:t>
            </w:r>
            <w:r w:rsidRPr="00234402">
              <w:t xml:space="preserve"> on  </w:t>
            </w:r>
          </w:p>
        </w:tc>
        <w:tc>
          <w:tcPr>
            <w:tcW w:w="1791" w:type="dxa"/>
          </w:tcPr>
          <w:p w:rsidR="00EA171A" w:rsidRPr="00EA171A" w:rsidRDefault="0074673E" w:rsidP="0077646C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923C" w:themeColor="accent3" w:themeShade="BF"/>
                <w:sz w:val="20"/>
                <w:szCs w:val="20"/>
              </w:rPr>
              <w:t>24/02/24</w:t>
            </w:r>
          </w:p>
        </w:tc>
      </w:tr>
      <w:tr w:rsidR="00EA171A" w:rsidRPr="00770F3B" w:rsidTr="0077646C">
        <w:tc>
          <w:tcPr>
            <w:tcW w:w="7230" w:type="dxa"/>
          </w:tcPr>
          <w:p w:rsidR="00EA171A" w:rsidRPr="00234402" w:rsidRDefault="00EA171A" w:rsidP="00EA171A">
            <w:pPr>
              <w:pStyle w:val="ListParagraph"/>
              <w:numPr>
                <w:ilvl w:val="0"/>
                <w:numId w:val="2"/>
              </w:numPr>
            </w:pPr>
            <w:r w:rsidRPr="00234402">
              <w:t xml:space="preserve">The date by which applicants will be notified of the decision on their application is     </w:t>
            </w:r>
          </w:p>
        </w:tc>
        <w:tc>
          <w:tcPr>
            <w:tcW w:w="1791" w:type="dxa"/>
          </w:tcPr>
          <w:p w:rsidR="00EA171A" w:rsidRPr="00EA171A" w:rsidRDefault="0074673E" w:rsidP="0077646C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923C" w:themeColor="accent3" w:themeShade="BF"/>
                <w:sz w:val="20"/>
                <w:szCs w:val="20"/>
              </w:rPr>
              <w:t>11</w:t>
            </w:r>
            <w:r w:rsidR="00EA171A" w:rsidRPr="00EA171A">
              <w:rPr>
                <w:rFonts w:ascii="Arial" w:hAnsi="Arial" w:cs="Arial"/>
                <w:bCs/>
                <w:color w:val="76923C" w:themeColor="accent3" w:themeShade="BF"/>
                <w:sz w:val="20"/>
                <w:szCs w:val="20"/>
              </w:rPr>
              <w:t>/03/23</w:t>
            </w:r>
          </w:p>
        </w:tc>
      </w:tr>
      <w:tr w:rsidR="00EA171A" w:rsidRPr="00770F3B" w:rsidTr="0077646C">
        <w:tc>
          <w:tcPr>
            <w:tcW w:w="7230" w:type="dxa"/>
          </w:tcPr>
          <w:p w:rsidR="00EA171A" w:rsidRPr="00234402" w:rsidRDefault="00EA171A" w:rsidP="00EA171A">
            <w:pPr>
              <w:pStyle w:val="ListParagraph"/>
              <w:numPr>
                <w:ilvl w:val="0"/>
                <w:numId w:val="2"/>
              </w:numPr>
            </w:pPr>
            <w:r w:rsidRPr="00234402"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:rsidR="00EA171A" w:rsidRPr="00EA171A" w:rsidRDefault="00EA171A" w:rsidP="0077646C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color w:val="76923C" w:themeColor="accent3" w:themeShade="BF"/>
                <w:sz w:val="20"/>
                <w:szCs w:val="20"/>
              </w:rPr>
            </w:pPr>
            <w:r w:rsidRPr="00EA171A">
              <w:rPr>
                <w:rFonts w:ascii="Arial" w:hAnsi="Arial" w:cs="Arial"/>
                <w:bCs/>
                <w:color w:val="76923C" w:themeColor="accent3" w:themeShade="BF"/>
                <w:sz w:val="20"/>
                <w:szCs w:val="20"/>
              </w:rPr>
              <w:t>One week</w:t>
            </w:r>
          </w:p>
        </w:tc>
      </w:tr>
    </w:tbl>
    <w:p w:rsidR="00EA171A" w:rsidRPr="00770F3B" w:rsidRDefault="00EA171A" w:rsidP="00EA171A">
      <w:pPr>
        <w:pStyle w:val="NoSpacing"/>
        <w:rPr>
          <w:rFonts w:ascii="Arial" w:hAnsi="Arial" w:cs="Arial"/>
        </w:rPr>
      </w:pPr>
    </w:p>
    <w:p w:rsidR="00EA171A" w:rsidRDefault="00EA171A" w:rsidP="00EA171A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 xml:space="preserve">Note: </w:t>
      </w:r>
      <w:r>
        <w:rPr>
          <w:rFonts w:ascii="Arial" w:hAnsi="Arial" w:cs="Arial"/>
          <w:b/>
        </w:rPr>
        <w:t xml:space="preserve">applications made after the </w:t>
      </w:r>
      <w:r w:rsidRPr="004A0F1C">
        <w:rPr>
          <w:rFonts w:ascii="Arial" w:hAnsi="Arial" w:cs="Arial"/>
          <w:b/>
        </w:rPr>
        <w:t>27/02/23</w:t>
      </w:r>
      <w:r>
        <w:rPr>
          <w:rFonts w:ascii="Arial" w:hAnsi="Arial" w:cs="Arial"/>
          <w:b/>
        </w:rPr>
        <w:t xml:space="preserve"> </w:t>
      </w:r>
      <w:r w:rsidRPr="004A0F1C">
        <w:rPr>
          <w:rFonts w:ascii="Arial" w:hAnsi="Arial" w:cs="Arial"/>
          <w:b/>
        </w:rPr>
        <w:t>will</w:t>
      </w:r>
      <w:r>
        <w:rPr>
          <w:rFonts w:ascii="Arial" w:hAnsi="Arial" w:cs="Arial"/>
          <w:b/>
        </w:rPr>
        <w:t xml:space="preserve"> be processed as late applications, </w:t>
      </w:r>
      <w:r w:rsidRPr="00770F3B">
        <w:rPr>
          <w:rFonts w:ascii="Arial" w:hAnsi="Arial" w:cs="Arial"/>
          <w:b/>
        </w:rPr>
        <w:t>the school will consider and issue decisions on late applications in accordance with the school’s admission policy.</w:t>
      </w:r>
    </w:p>
    <w:p w:rsidR="00EA171A" w:rsidRDefault="00EA171A" w:rsidP="00EA171A">
      <w:pPr>
        <w:pStyle w:val="NoSpacing"/>
        <w:rPr>
          <w:rFonts w:ascii="Arial" w:hAnsi="Arial" w:cs="Arial"/>
          <w:b/>
        </w:rPr>
      </w:pPr>
    </w:p>
    <w:p w:rsidR="00EA171A" w:rsidRDefault="00EA171A" w:rsidP="00EA171A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Failure of an applicant to accept an offer by the 21/03/03 may result in the offer being withdrawn.</w:t>
      </w:r>
    </w:p>
    <w:p w:rsidR="00EA171A" w:rsidRPr="00770F3B" w:rsidRDefault="00EA171A" w:rsidP="00EA171A">
      <w:pPr>
        <w:pStyle w:val="NoSpacing"/>
        <w:rPr>
          <w:rFonts w:ascii="Arial" w:hAnsi="Arial" w:cs="Arial"/>
          <w:b/>
        </w:rPr>
      </w:pPr>
    </w:p>
    <w:p w:rsidR="00EA171A" w:rsidRDefault="00EA171A" w:rsidP="00EA171A">
      <w:pPr>
        <w:pStyle w:val="NoSpacing"/>
        <w:rPr>
          <w:rFonts w:ascii="Arial" w:hAnsi="Arial" w:cs="Arial"/>
          <w:b/>
        </w:rPr>
      </w:pPr>
    </w:p>
    <w:p w:rsidR="00EA171A" w:rsidRDefault="00EA171A" w:rsidP="00EA171A">
      <w:pPr>
        <w:pStyle w:val="NoSpacing"/>
        <w:rPr>
          <w:rFonts w:ascii="Arial" w:hAnsi="Arial" w:cs="Arial"/>
          <w:b/>
        </w:rPr>
      </w:pPr>
    </w:p>
    <w:p w:rsidR="00EA171A" w:rsidRDefault="00EA171A" w:rsidP="00EA171A">
      <w:pPr>
        <w:pStyle w:val="ListParagraph"/>
        <w:spacing w:line="276" w:lineRule="auto"/>
        <w:ind w:left="-142"/>
        <w:rPr>
          <w:rFonts w:ascii="Arial" w:hAnsi="Arial" w:cs="Arial"/>
          <w:b/>
          <w:color w:val="984806" w:themeColor="accent6" w:themeShade="80"/>
          <w:sz w:val="24"/>
          <w:szCs w:val="24"/>
        </w:rPr>
      </w:pPr>
    </w:p>
    <w:p w:rsidR="00EA171A" w:rsidRPr="00EA171A" w:rsidRDefault="00EA171A" w:rsidP="00EA171A">
      <w:pPr>
        <w:pStyle w:val="ListParagraph"/>
        <w:spacing w:line="276" w:lineRule="auto"/>
        <w:ind w:left="-142"/>
        <w:rPr>
          <w:rFonts w:ascii="Arial" w:hAnsi="Arial" w:cs="Arial"/>
          <w:b/>
          <w:color w:val="76923C" w:themeColor="accent3" w:themeShade="BF"/>
          <w:sz w:val="24"/>
          <w:szCs w:val="24"/>
        </w:rPr>
      </w:pPr>
      <w:r w:rsidRPr="00EA171A"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Number of </w:t>
      </w:r>
      <w:r w:rsidR="006F2F6E">
        <w:rPr>
          <w:rFonts w:ascii="Arial" w:hAnsi="Arial" w:cs="Arial"/>
          <w:b/>
          <w:color w:val="76923C" w:themeColor="accent3" w:themeShade="BF"/>
          <w:sz w:val="24"/>
          <w:szCs w:val="24"/>
        </w:rPr>
        <w:t>places being made available in 2024/25</w:t>
      </w:r>
    </w:p>
    <w:p w:rsidR="00EA171A" w:rsidRPr="00770F3B" w:rsidRDefault="00EA171A" w:rsidP="00EA171A">
      <w:pPr>
        <w:pStyle w:val="ListParagraph"/>
        <w:spacing w:line="276" w:lineRule="auto"/>
        <w:ind w:left="0"/>
        <w:rPr>
          <w:rFonts w:ascii="Arial" w:hAnsi="Arial" w:cs="Arial"/>
          <w:b/>
          <w:color w:val="984806" w:themeColor="accent6" w:themeShade="80"/>
        </w:rPr>
      </w:pPr>
      <w:r w:rsidRPr="00B94660">
        <w:rPr>
          <w:i/>
          <w:iCs/>
        </w:rPr>
        <w:t xml:space="preserve">The figures set out </w:t>
      </w:r>
      <w:r w:rsidRPr="00C9386D">
        <w:rPr>
          <w:i/>
          <w:iCs/>
        </w:rPr>
        <w:t xml:space="preserve">below in relation to the </w:t>
      </w:r>
      <w:r>
        <w:rPr>
          <w:i/>
          <w:iCs/>
        </w:rPr>
        <w:t>Junior Infants</w:t>
      </w:r>
      <w:r w:rsidR="006F2F6E">
        <w:rPr>
          <w:i/>
          <w:iCs/>
        </w:rPr>
        <w:t xml:space="preserve"> and all other classes</w:t>
      </w:r>
      <w:bookmarkStart w:id="0" w:name="_GoBack"/>
      <w:bookmarkEnd w:id="0"/>
      <w:r>
        <w:rPr>
          <w:i/>
          <w:iCs/>
        </w:rPr>
        <w:t xml:space="preserve"> are dependent upon a prefab being installed on school grounds</w:t>
      </w:r>
      <w:r w:rsidRPr="00C9386D">
        <w:rPr>
          <w:i/>
          <w:iCs/>
        </w:rPr>
        <w:t>.</w:t>
      </w:r>
    </w:p>
    <w:p w:rsidR="00EA171A" w:rsidRPr="008B52D5" w:rsidRDefault="00EA171A" w:rsidP="00EA171A">
      <w:pPr>
        <w:pStyle w:val="ListParagraph"/>
        <w:spacing w:line="276" w:lineRule="auto"/>
        <w:ind w:left="-142"/>
        <w:rPr>
          <w:rFonts w:ascii="Arial" w:hAnsi="Arial" w:cs="Arial"/>
          <w:b/>
          <w:color w:val="984806" w:themeColor="accent6" w:themeShade="80"/>
          <w:sz w:val="24"/>
          <w:szCs w:val="24"/>
        </w:rPr>
      </w:pPr>
    </w:p>
    <w:p w:rsidR="00EA171A" w:rsidRPr="008B52D5" w:rsidRDefault="00EA171A" w:rsidP="00EA171A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EA171A" w:rsidRPr="00770F3B" w:rsidTr="0077646C">
        <w:tc>
          <w:tcPr>
            <w:tcW w:w="7513" w:type="dxa"/>
          </w:tcPr>
          <w:p w:rsidR="00EA171A" w:rsidRPr="00770F3B" w:rsidRDefault="00EA171A" w:rsidP="0077646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made available in junior infants/first year(delete as appropriate) is</w:t>
            </w:r>
          </w:p>
        </w:tc>
        <w:tc>
          <w:tcPr>
            <w:tcW w:w="1650" w:type="dxa"/>
          </w:tcPr>
          <w:p w:rsidR="00EA171A" w:rsidRPr="00770F3B" w:rsidRDefault="00EA171A" w:rsidP="0077646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</w:tr>
      <w:tr w:rsidR="00EA171A" w:rsidRPr="00770F3B" w:rsidTr="0077646C">
        <w:tc>
          <w:tcPr>
            <w:tcW w:w="7513" w:type="dxa"/>
          </w:tcPr>
          <w:p w:rsidR="00EA171A" w:rsidRPr="00770F3B" w:rsidRDefault="00EA171A" w:rsidP="0077646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made available in the special class* catering for children with [insert category or categories of SEN catered for in the special class]  is</w:t>
            </w:r>
          </w:p>
        </w:tc>
        <w:tc>
          <w:tcPr>
            <w:tcW w:w="1650" w:type="dxa"/>
          </w:tcPr>
          <w:p w:rsidR="00EA171A" w:rsidRPr="00770F3B" w:rsidRDefault="00EA171A" w:rsidP="0077646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EA171A" w:rsidRPr="00770F3B" w:rsidTr="0077646C">
        <w:tc>
          <w:tcPr>
            <w:tcW w:w="7513" w:type="dxa"/>
          </w:tcPr>
          <w:p w:rsidR="00EA171A" w:rsidRPr="00770F3B" w:rsidRDefault="00EA171A" w:rsidP="0077646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number of places being made available in</w:t>
            </w:r>
            <w:r>
              <w:rPr>
                <w:rFonts w:ascii="Arial" w:hAnsi="Arial" w:cs="Arial"/>
              </w:rPr>
              <w:t xml:space="preserve"> other year groups is</w:t>
            </w:r>
          </w:p>
        </w:tc>
        <w:tc>
          <w:tcPr>
            <w:tcW w:w="1650" w:type="dxa"/>
          </w:tcPr>
          <w:p w:rsidR="00EA171A" w:rsidRPr="00EA171A" w:rsidRDefault="00EA171A" w:rsidP="0077646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A171A">
              <w:rPr>
                <w:sz w:val="18"/>
                <w:szCs w:val="18"/>
              </w:rPr>
              <w:t xml:space="preserve">Varies, depending on the number of vacant places in any class. </w:t>
            </w:r>
            <w:r>
              <w:rPr>
                <w:sz w:val="18"/>
                <w:szCs w:val="18"/>
              </w:rPr>
              <w:t>Up to 28 pupils per mainstream classroom.</w:t>
            </w:r>
          </w:p>
        </w:tc>
      </w:tr>
    </w:tbl>
    <w:p w:rsidR="00EA171A" w:rsidRPr="00770F3B" w:rsidRDefault="00EA171A" w:rsidP="00EA171A">
      <w:pPr>
        <w:pStyle w:val="NoSpacing"/>
      </w:pPr>
    </w:p>
    <w:p w:rsidR="00EA171A" w:rsidRPr="00770F3B" w:rsidRDefault="00EA171A" w:rsidP="00EA171A">
      <w:pPr>
        <w:pStyle w:val="NoSpacing"/>
      </w:pPr>
    </w:p>
    <w:p w:rsidR="00097BBC" w:rsidRPr="00721A8F" w:rsidRDefault="00097BBC" w:rsidP="00721A8F"/>
    <w:sectPr w:rsidR="00097BBC" w:rsidRPr="00721A8F">
      <w:headerReference w:type="default" r:id="rId7"/>
      <w:footerReference w:type="default" r:id="rId8"/>
      <w:pgSz w:w="11906" w:h="16838"/>
      <w:pgMar w:top="1985" w:right="1440" w:bottom="1440" w:left="1440" w:header="708" w:footer="12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BDA" w:rsidRDefault="00ED5BDA">
      <w:pPr>
        <w:spacing w:after="0" w:line="240" w:lineRule="auto"/>
      </w:pPr>
      <w:r>
        <w:separator/>
      </w:r>
    </w:p>
  </w:endnote>
  <w:endnote w:type="continuationSeparator" w:id="0">
    <w:p w:rsidR="00ED5BDA" w:rsidRDefault="00ED5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BBC" w:rsidRDefault="007B0C1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36576" distB="36576" distL="36576" distR="36576" simplePos="0" relativeHeight="251660288" behindDoc="0" locked="0" layoutInCell="1" hidden="0" allowOverlap="1">
              <wp:simplePos x="0" y="0"/>
              <wp:positionH relativeFrom="column">
                <wp:posOffset>-915923</wp:posOffset>
              </wp:positionH>
              <wp:positionV relativeFrom="paragraph">
                <wp:posOffset>-14223</wp:posOffset>
              </wp:positionV>
              <wp:extent cx="7559675" cy="5715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1566163" y="3780000"/>
                        <a:ext cx="7559675" cy="0"/>
                      </a:xfrm>
                      <a:prstGeom prst="straightConnector1">
                        <a:avLst/>
                      </a:prstGeom>
                      <a:noFill/>
                      <a:ln w="57150" cap="flat" cmpd="sng">
                        <a:solidFill>
                          <a:srgbClr val="53BB63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-915923</wp:posOffset>
              </wp:positionH>
              <wp:positionV relativeFrom="paragraph">
                <wp:posOffset>-14223</wp:posOffset>
              </wp:positionV>
              <wp:extent cx="7559675" cy="571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675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248920</wp:posOffset>
              </wp:positionV>
              <wp:extent cx="1133475" cy="1414145"/>
              <wp:effectExtent l="0" t="0" r="0" b="0"/>
              <wp:wrapSquare wrapText="bothSides" distT="45720" distB="45720" distL="114300" distR="114300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84025" y="3077690"/>
                        <a:ext cx="11239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97BBC" w:rsidRDefault="007B0C17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Rockwell" w:eastAsia="Rockwell" w:hAnsi="Rockwell" w:cs="Rockwell"/>
                              <w:color w:val="000000"/>
                            </w:rPr>
                            <w:t>Barrett’s Park</w:t>
                          </w:r>
                        </w:p>
                        <w:p w:rsidR="00097BBC" w:rsidRDefault="007B0C17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Rockwell" w:eastAsia="Rockwell" w:hAnsi="Rockwell" w:cs="Rockwell"/>
                              <w:color w:val="000000"/>
                            </w:rPr>
                            <w:t>New Ross</w:t>
                          </w:r>
                        </w:p>
                        <w:p w:rsidR="00097BBC" w:rsidRDefault="007B0C17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Rockwell" w:eastAsia="Rockwell" w:hAnsi="Rockwell" w:cs="Rockwell"/>
                              <w:color w:val="000000"/>
                            </w:rPr>
                            <w:t>Co. Wexford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27" style="position:absolute;margin-left:-54pt;margin-top:19.6pt;width:89.25pt;height:111.3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" stroked="f">
              <v:textbox inset="2.53958mm,1.2694mm,2.53958mm,1.2694mm">
                <w:txbxContent>
                  <w:p w:rsidR="00097BBC" w:rsidRDefault="007B0C17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Rockwell" w:eastAsia="Rockwell" w:hAnsi="Rockwell" w:cs="Rockwell"/>
                        <w:color w:val="000000"/>
                      </w:rPr>
                      <w:t>Barrett’s Park</w:t>
                    </w:r>
                  </w:p>
                  <w:p w:rsidR="00097BBC" w:rsidRDefault="007B0C17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Rockwell" w:eastAsia="Rockwell" w:hAnsi="Rockwell" w:cs="Rockwell"/>
                        <w:color w:val="000000"/>
                      </w:rPr>
                      <w:t>New Ross</w:t>
                    </w:r>
                  </w:p>
                  <w:p w:rsidR="00097BBC" w:rsidRDefault="007B0C17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Rockwell" w:eastAsia="Rockwell" w:hAnsi="Rockwell" w:cs="Rockwell"/>
                        <w:color w:val="000000"/>
                      </w:rPr>
                      <w:t>Co. Wexford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2478405</wp:posOffset>
          </wp:positionH>
          <wp:positionV relativeFrom="paragraph">
            <wp:posOffset>-396874</wp:posOffset>
          </wp:positionV>
          <wp:extent cx="774700" cy="799465"/>
          <wp:effectExtent l="0" t="0" r="0" b="0"/>
          <wp:wrapSquare wrapText="bothSides" distT="0" distB="0" distL="114300" distR="114300"/>
          <wp:docPr id="6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700" cy="799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97BBC" w:rsidRDefault="007B0C1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hidden="0" allowOverlap="1">
              <wp:simplePos x="0" y="0"/>
              <wp:positionH relativeFrom="column">
                <wp:posOffset>4432300</wp:posOffset>
              </wp:positionH>
              <wp:positionV relativeFrom="paragraph">
                <wp:posOffset>45720</wp:posOffset>
              </wp:positionV>
              <wp:extent cx="1905000" cy="1414145"/>
              <wp:effectExtent l="0" t="0" r="0" b="0"/>
              <wp:wrapSquare wrapText="bothSides" distT="45720" distB="45720" distL="114300" distR="11430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98263" y="3077690"/>
                        <a:ext cx="18954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97BBC" w:rsidRDefault="007B0C1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Rockwell" w:eastAsia="Rockwell" w:hAnsi="Rockwell" w:cs="Rockwell"/>
                              <w:color w:val="000000"/>
                            </w:rPr>
                            <w:t xml:space="preserve">051 445 398 </w:t>
                          </w:r>
                        </w:p>
                        <w:p w:rsidR="00097BBC" w:rsidRDefault="007B0C1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Rockwell" w:eastAsia="Rockwell" w:hAnsi="Rockwell" w:cs="Rockwell"/>
                              <w:color w:val="000000"/>
                            </w:rPr>
                            <w:t>office@newrossetns.ie</w:t>
                          </w:r>
                        </w:p>
                        <w:p w:rsidR="00097BBC" w:rsidRDefault="007B0C1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Rockwell" w:eastAsia="Rockwell" w:hAnsi="Rockwell" w:cs="Rockwell"/>
                              <w:color w:val="000000"/>
                            </w:rPr>
                            <w:t>www.newrossetns.ie</w:t>
                          </w:r>
                        </w:p>
                        <w:p w:rsidR="00097BBC" w:rsidRDefault="007B0C1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Rockwell" w:eastAsia="Rockwell" w:hAnsi="Rockwell" w:cs="Rockwell"/>
                              <w:color w:val="000000"/>
                            </w:rPr>
                            <w:t>Charity No: 20105679</w:t>
                          </w:r>
                        </w:p>
                        <w:p w:rsidR="00097BBC" w:rsidRDefault="00097BBC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8" style="position:absolute;margin-left:349pt;margin-top:3.6pt;width:150pt;height:111.3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" stroked="f">
              <v:textbox inset="2.53958mm,1.2694mm,2.53958mm,1.2694mm">
                <w:txbxContent>
                  <w:p w:rsidR="00097BBC" w:rsidRDefault="007B0C17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Rockwell" w:eastAsia="Rockwell" w:hAnsi="Rockwell" w:cs="Rockwell"/>
                        <w:color w:val="000000"/>
                      </w:rPr>
                      <w:t xml:space="preserve">051 445 398 </w:t>
                    </w:r>
                  </w:p>
                  <w:p w:rsidR="00097BBC" w:rsidRDefault="007B0C17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Rockwell" w:eastAsia="Rockwell" w:hAnsi="Rockwell" w:cs="Rockwell"/>
                        <w:color w:val="000000"/>
                      </w:rPr>
                      <w:t>office@newrossetns.ie</w:t>
                    </w:r>
                  </w:p>
                  <w:p w:rsidR="00097BBC" w:rsidRDefault="007B0C17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Rockwell" w:eastAsia="Rockwell" w:hAnsi="Rockwell" w:cs="Rockwell"/>
                        <w:color w:val="000000"/>
                      </w:rPr>
                      <w:t>www.newrossetns.ie</w:t>
                    </w:r>
                  </w:p>
                  <w:p w:rsidR="00097BBC" w:rsidRDefault="007B0C17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Rockwell" w:eastAsia="Rockwell" w:hAnsi="Rockwell" w:cs="Rockwell"/>
                        <w:color w:val="000000"/>
                      </w:rPr>
                      <w:t>Charity No: 20105679</w:t>
                    </w:r>
                  </w:p>
                  <w:p w:rsidR="00097BBC" w:rsidRDefault="00097BBC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BDA" w:rsidRDefault="00ED5BDA">
      <w:pPr>
        <w:spacing w:after="0" w:line="240" w:lineRule="auto"/>
      </w:pPr>
      <w:r>
        <w:separator/>
      </w:r>
    </w:p>
  </w:footnote>
  <w:footnote w:type="continuationSeparator" w:id="0">
    <w:p w:rsidR="00ED5BDA" w:rsidRDefault="00ED5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BBC" w:rsidRDefault="007B0C1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>
              <wp:simplePos x="0" y="0"/>
              <wp:positionH relativeFrom="column">
                <wp:posOffset>139700</wp:posOffset>
              </wp:positionH>
              <wp:positionV relativeFrom="paragraph">
                <wp:posOffset>-233679</wp:posOffset>
              </wp:positionV>
              <wp:extent cx="5448300" cy="1414145"/>
              <wp:effectExtent l="0" t="0" r="0" b="0"/>
              <wp:wrapSquare wrapText="bothSides" distT="45720" distB="45720" distL="114300" distR="114300"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26613" y="3077690"/>
                        <a:ext cx="54387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97BBC" w:rsidRDefault="007B0C1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Rockwell" w:eastAsia="Rockwell" w:hAnsi="Rockwell" w:cs="Rockwell"/>
                              <w:color w:val="000000"/>
                              <w:sz w:val="36"/>
                            </w:rPr>
                            <w:t>New Ross Educate Together</w:t>
                          </w:r>
                        </w:p>
                        <w:p w:rsidR="00097BBC" w:rsidRDefault="007B0C1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Rockwell" w:eastAsia="Rockwell" w:hAnsi="Rockwell" w:cs="Rockwell"/>
                              <w:color w:val="000000"/>
                              <w:sz w:val="36"/>
                            </w:rPr>
                            <w:t>National School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5" o:spid="_x0000_s1026" style="position:absolute;margin-left:11pt;margin-top:-18.4pt;width:429pt;height:111.3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" stroked="f">
              <v:textbox inset="2.53958mm,1.2694mm,2.53958mm,1.2694mm">
                <w:txbxContent>
                  <w:p w:rsidR="00097BBC" w:rsidRDefault="007B0C1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Rockwell" w:eastAsia="Rockwell" w:hAnsi="Rockwell" w:cs="Rockwell"/>
                        <w:color w:val="000000"/>
                        <w:sz w:val="36"/>
                      </w:rPr>
                      <w:t>New Ross Educate Together</w:t>
                    </w:r>
                  </w:p>
                  <w:p w:rsidR="00097BBC" w:rsidRDefault="007B0C1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Rockwell" w:eastAsia="Rockwell" w:hAnsi="Rockwell" w:cs="Rockwell"/>
                        <w:color w:val="000000"/>
                        <w:sz w:val="36"/>
                      </w:rPr>
                      <w:t>National School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36576" distB="36576" distL="36576" distR="36576" simplePos="0" relativeHeight="251659264" behindDoc="0" locked="0" layoutInCell="1" hidden="0" allowOverlap="1">
              <wp:simplePos x="0" y="0"/>
              <wp:positionH relativeFrom="column">
                <wp:posOffset>1065276</wp:posOffset>
              </wp:positionH>
              <wp:positionV relativeFrom="paragraph">
                <wp:posOffset>442976</wp:posOffset>
              </wp:positionV>
              <wp:extent cx="3600000" cy="57150"/>
              <wp:effectExtent l="0" t="0" r="0" b="0"/>
              <wp:wrapNone/>
              <wp:docPr id="4" name="Straight Arrow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3546000" y="3780000"/>
                        <a:ext cx="3600000" cy="0"/>
                      </a:xfrm>
                      <a:prstGeom prst="straightConnector1">
                        <a:avLst/>
                      </a:prstGeom>
                      <a:noFill/>
                      <a:ln w="57150" cap="flat" cmpd="sng">
                        <a:solidFill>
                          <a:srgbClr val="53BB63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1065276</wp:posOffset>
              </wp:positionH>
              <wp:positionV relativeFrom="paragraph">
                <wp:posOffset>442976</wp:posOffset>
              </wp:positionV>
              <wp:extent cx="3600000" cy="57150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0000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837D9"/>
    <w:multiLevelType w:val="hybridMultilevel"/>
    <w:tmpl w:val="9182C5DC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F75CAD"/>
    <w:multiLevelType w:val="hybridMultilevel"/>
    <w:tmpl w:val="9182C5DC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BC"/>
    <w:rsid w:val="0009748D"/>
    <w:rsid w:val="00097BBC"/>
    <w:rsid w:val="00385A07"/>
    <w:rsid w:val="006F2F6E"/>
    <w:rsid w:val="00721A8F"/>
    <w:rsid w:val="0074673E"/>
    <w:rsid w:val="007B0C17"/>
    <w:rsid w:val="007B44EC"/>
    <w:rsid w:val="009D5400"/>
    <w:rsid w:val="00EA171A"/>
    <w:rsid w:val="00ED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11D43"/>
  <w15:docId w15:val="{5EF67167-E2CC-4CD0-B343-F7547C28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rsid w:val="00385A0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171A"/>
    <w:pPr>
      <w:spacing w:line="256" w:lineRule="auto"/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EA171A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A171A"/>
    <w:pPr>
      <w:spacing w:after="0" w:line="240" w:lineRule="auto"/>
    </w:pPr>
    <w:rPr>
      <w:rFonts w:asciiTheme="minorHAnsi" w:eastAsiaTheme="minorEastAsia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 White</dc:creator>
  <cp:lastModifiedBy>teacher</cp:lastModifiedBy>
  <cp:revision>2</cp:revision>
  <dcterms:created xsi:type="dcterms:W3CDTF">2024-10-21T09:29:00Z</dcterms:created>
  <dcterms:modified xsi:type="dcterms:W3CDTF">2024-10-21T09:29:00Z</dcterms:modified>
</cp:coreProperties>
</file>